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FA9F" w14:textId="0070D4FF" w:rsidR="004F2513" w:rsidRDefault="004A5A50" w:rsidP="004F2513">
      <w:pPr>
        <w:pStyle w:val="Heading2"/>
      </w:pPr>
      <w:r>
        <w:t>P</w:t>
      </w:r>
      <w:r w:rsidR="00614615">
        <w:t xml:space="preserve">atient specific direction (PSD) for </w:t>
      </w:r>
      <w:r w:rsidR="00F75DED">
        <w:t>pre-exposure</w:t>
      </w:r>
      <w:r w:rsidR="00C7130C">
        <w:t xml:space="preserve"> prophylaxis </w:t>
      </w:r>
      <w:r w:rsidR="00462A85">
        <w:t>in</w:t>
      </w:r>
      <w:r w:rsidR="00C7130C">
        <w:t xml:space="preserve"> </w:t>
      </w:r>
      <w:r w:rsidR="00F85BAD">
        <w:t>adults</w:t>
      </w:r>
      <w:r w:rsidR="00614615">
        <w:t xml:space="preserve"> with n</w:t>
      </w:r>
      <w:r w:rsidR="00614615" w:rsidRPr="000E3C02">
        <w:t>o known chronic renal impairment</w:t>
      </w:r>
    </w:p>
    <w:p w14:paraId="02288204" w14:textId="64486533" w:rsidR="00614615" w:rsidRPr="000E3C02" w:rsidRDefault="00614615" w:rsidP="00054069"/>
    <w:tbl>
      <w:tblPr>
        <w:tblStyle w:val="TableGrid"/>
        <w:tblW w:w="0" w:type="auto"/>
        <w:tblLook w:val="04A0" w:firstRow="1" w:lastRow="0" w:firstColumn="1" w:lastColumn="0" w:noHBand="0" w:noVBand="1"/>
        <w:tblDescription w:val="A tablet with space to enter the prescriber's details and address of the patients being treated"/>
      </w:tblPr>
      <w:tblGrid>
        <w:gridCol w:w="4515"/>
        <w:gridCol w:w="4501"/>
      </w:tblGrid>
      <w:tr w:rsidR="00614615" w14:paraId="348DC534" w14:textId="77777777" w:rsidTr="00571E78">
        <w:trPr>
          <w:trHeight w:val="3128"/>
        </w:trPr>
        <w:tc>
          <w:tcPr>
            <w:tcW w:w="4621" w:type="dxa"/>
          </w:tcPr>
          <w:p w14:paraId="68B3A3B9" w14:textId="214B9E13" w:rsidR="00614615" w:rsidRPr="00196C41" w:rsidRDefault="00614615" w:rsidP="00196C41">
            <w:pPr>
              <w:rPr>
                <w:b/>
                <w:bCs/>
                <w:sz w:val="24"/>
                <w:szCs w:val="24"/>
              </w:rPr>
            </w:pPr>
            <w:r w:rsidRPr="00614615">
              <w:rPr>
                <w:b/>
                <w:bCs/>
                <w:sz w:val="24"/>
                <w:szCs w:val="24"/>
              </w:rPr>
              <w:t>Prescriber’s details (name, registration number, work address and contact details)</w:t>
            </w:r>
          </w:p>
          <w:p w14:paraId="20B7810F" w14:textId="77777777" w:rsidR="00614615" w:rsidRPr="00525625" w:rsidRDefault="00614615" w:rsidP="00235F50">
            <w:pPr>
              <w:tabs>
                <w:tab w:val="left" w:pos="1848"/>
              </w:tabs>
              <w:rPr>
                <w:bCs/>
              </w:rPr>
            </w:pPr>
            <w:permStart w:id="680097193" w:edGrp="everyone"/>
            <w:permEnd w:id="680097193"/>
          </w:p>
          <w:p w14:paraId="4E9CEBB0" w14:textId="6D2E3516" w:rsidR="004F1143" w:rsidRDefault="004F1143" w:rsidP="00235F50">
            <w:pPr>
              <w:tabs>
                <w:tab w:val="left" w:pos="1848"/>
              </w:tabs>
              <w:rPr>
                <w:b/>
              </w:rPr>
            </w:pPr>
          </w:p>
        </w:tc>
        <w:tc>
          <w:tcPr>
            <w:tcW w:w="4621" w:type="dxa"/>
          </w:tcPr>
          <w:p w14:paraId="2BC3970A" w14:textId="77777777" w:rsidR="00614615" w:rsidRDefault="00C7130C" w:rsidP="00614615">
            <w:pPr>
              <w:rPr>
                <w:b/>
                <w:bCs/>
                <w:sz w:val="24"/>
                <w:szCs w:val="24"/>
              </w:rPr>
            </w:pPr>
            <w:r>
              <w:rPr>
                <w:b/>
                <w:bCs/>
                <w:sz w:val="24"/>
                <w:szCs w:val="24"/>
              </w:rPr>
              <w:t>Name, address</w:t>
            </w:r>
            <w:r w:rsidR="00FF5BC5">
              <w:rPr>
                <w:b/>
                <w:bCs/>
                <w:sz w:val="24"/>
                <w:szCs w:val="24"/>
              </w:rPr>
              <w:t>, date of birth and NHS number of patient</w:t>
            </w:r>
            <w:r w:rsidR="00FF5BC5" w:rsidRPr="00614615">
              <w:rPr>
                <w:b/>
                <w:bCs/>
                <w:sz w:val="24"/>
                <w:szCs w:val="24"/>
              </w:rPr>
              <w:t xml:space="preserve"> </w:t>
            </w:r>
            <w:r w:rsidR="00614615" w:rsidRPr="00614615">
              <w:rPr>
                <w:b/>
                <w:bCs/>
                <w:sz w:val="24"/>
                <w:szCs w:val="24"/>
              </w:rPr>
              <w:t>to whom this PSD relates</w:t>
            </w:r>
          </w:p>
          <w:p w14:paraId="750AA5F6" w14:textId="4D1986C2" w:rsidR="00A12CE9" w:rsidRPr="00A12CE9" w:rsidRDefault="00A12CE9" w:rsidP="00A12CE9">
            <w:pPr>
              <w:rPr>
                <w:sz w:val="24"/>
                <w:szCs w:val="24"/>
              </w:rPr>
            </w:pPr>
            <w:permStart w:id="1325936684" w:edGrp="everyone"/>
            <w:permEnd w:id="1325936684"/>
          </w:p>
        </w:tc>
      </w:tr>
    </w:tbl>
    <w:p w14:paraId="3EADD1A5" w14:textId="77777777" w:rsidR="00614615" w:rsidRDefault="00614615" w:rsidP="00614615">
      <w:pPr>
        <w:pStyle w:val="Heading3"/>
      </w:pPr>
    </w:p>
    <w:p w14:paraId="6B3F92EA" w14:textId="18779578" w:rsidR="00614615" w:rsidRDefault="00614615" w:rsidP="00614615">
      <w:pPr>
        <w:pStyle w:val="Heading3"/>
      </w:pPr>
      <w:r>
        <w:t>Treatment</w:t>
      </w:r>
    </w:p>
    <w:p w14:paraId="00F3FEE4" w14:textId="605F0021" w:rsidR="00614615" w:rsidRPr="00614615" w:rsidRDefault="00614615" w:rsidP="00614615">
      <w:pPr>
        <w:rPr>
          <w:sz w:val="24"/>
          <w:szCs w:val="24"/>
        </w:rPr>
      </w:pPr>
      <w:r w:rsidRPr="00614615">
        <w:rPr>
          <w:sz w:val="24"/>
          <w:szCs w:val="24"/>
        </w:rPr>
        <w:t xml:space="preserve">I authorise the supply of oseltamivir 75mg capsules to the patient </w:t>
      </w:r>
      <w:r w:rsidR="00C7130C">
        <w:rPr>
          <w:sz w:val="24"/>
          <w:szCs w:val="24"/>
        </w:rPr>
        <w:t>above</w:t>
      </w:r>
      <w:r w:rsidRPr="00614615">
        <w:rPr>
          <w:sz w:val="24"/>
          <w:szCs w:val="24"/>
        </w:rPr>
        <w:t xml:space="preserve"> for oral administration.</w:t>
      </w:r>
    </w:p>
    <w:p w14:paraId="0A5A66E2" w14:textId="051906A1" w:rsidR="00F87FC3" w:rsidRDefault="00614615" w:rsidP="00614615">
      <w:pPr>
        <w:rPr>
          <w:sz w:val="24"/>
          <w:szCs w:val="24"/>
        </w:rPr>
      </w:pPr>
      <w:r w:rsidRPr="00614615">
        <w:rPr>
          <w:sz w:val="24"/>
          <w:szCs w:val="24"/>
        </w:rPr>
        <w:t xml:space="preserve">The dose will be ONE capsule </w:t>
      </w:r>
      <w:r w:rsidR="00C7130C">
        <w:rPr>
          <w:sz w:val="24"/>
          <w:szCs w:val="24"/>
        </w:rPr>
        <w:t>ONCE A DAY for each day of exposure</w:t>
      </w:r>
      <w:r w:rsidR="00144B98">
        <w:rPr>
          <w:sz w:val="24"/>
          <w:szCs w:val="24"/>
        </w:rPr>
        <w:t>,</w:t>
      </w:r>
      <w:r w:rsidR="00C7130C">
        <w:rPr>
          <w:sz w:val="24"/>
          <w:szCs w:val="24"/>
        </w:rPr>
        <w:t xml:space="preserve"> and </w:t>
      </w:r>
      <w:r w:rsidR="00144B98">
        <w:rPr>
          <w:sz w:val="24"/>
          <w:szCs w:val="24"/>
        </w:rPr>
        <w:t xml:space="preserve">for </w:t>
      </w:r>
      <w:r w:rsidR="00C7130C">
        <w:rPr>
          <w:sz w:val="24"/>
          <w:szCs w:val="24"/>
        </w:rPr>
        <w:t xml:space="preserve">10 days afterwards. </w:t>
      </w:r>
      <w:r w:rsidR="00B30BC3" w:rsidRPr="00B30BC3">
        <w:rPr>
          <w:sz w:val="24"/>
          <w:szCs w:val="24"/>
        </w:rPr>
        <w:t>Prophylaxis should be started prior to individuals having contact with infected birds or contaminated materials</w:t>
      </w:r>
      <w:r w:rsidR="00B30BC3">
        <w:rPr>
          <w:sz w:val="24"/>
          <w:szCs w:val="24"/>
        </w:rPr>
        <w:t xml:space="preserve"> and</w:t>
      </w:r>
      <w:r w:rsidR="00C7130C">
        <w:rPr>
          <w:sz w:val="24"/>
          <w:szCs w:val="24"/>
        </w:rPr>
        <w:t xml:space="preserve"> may be continued for a maximum of 42 days in total, after which a break of at least 3 days must be observed.</w:t>
      </w:r>
    </w:p>
    <w:p w14:paraId="38BEF2C9" w14:textId="616BE791" w:rsidR="00F87FC3" w:rsidRPr="00F87FC3" w:rsidRDefault="00F87FC3" w:rsidP="00614615">
      <w:pPr>
        <w:rPr>
          <w:sz w:val="24"/>
          <w:szCs w:val="24"/>
        </w:rPr>
      </w:pPr>
      <w:r w:rsidRPr="00F87FC3">
        <w:rPr>
          <w:sz w:val="24"/>
          <w:szCs w:val="24"/>
        </w:rPr>
        <w:t xml:space="preserve">Guidance from Public Health England can be found </w:t>
      </w:r>
      <w:hyperlink r:id="rId6" w:history="1">
        <w:r w:rsidRPr="00F87FC3">
          <w:rPr>
            <w:rStyle w:val="Hyperlink"/>
            <w:sz w:val="24"/>
            <w:szCs w:val="24"/>
          </w:rPr>
          <w:t>here</w:t>
        </w:r>
      </w:hyperlink>
      <w:r w:rsidR="00F653AA">
        <w:rPr>
          <w:sz w:val="24"/>
          <w:szCs w:val="24"/>
        </w:rPr>
        <w:t xml:space="preserve"> (see page 22 and annex 7)</w:t>
      </w:r>
    </w:p>
    <w:tbl>
      <w:tblPr>
        <w:tblStyle w:val="TableGrid"/>
        <w:tblW w:w="0" w:type="auto"/>
        <w:tblLook w:val="04A0" w:firstRow="1" w:lastRow="0" w:firstColumn="1" w:lastColumn="0" w:noHBand="0" w:noVBand="1"/>
        <w:tblDescription w:val="A table for completion with the name, date of birth and NHS or hospital number of the patients to be treated with oseltamivir 75mg capsules, one twice daily"/>
      </w:tblPr>
      <w:tblGrid>
        <w:gridCol w:w="3080"/>
        <w:gridCol w:w="3043"/>
        <w:gridCol w:w="2893"/>
      </w:tblGrid>
      <w:tr w:rsidR="00614615" w14:paraId="76E4C8E1" w14:textId="77777777" w:rsidTr="00BF3805">
        <w:trPr>
          <w:trHeight w:val="491"/>
        </w:trPr>
        <w:tc>
          <w:tcPr>
            <w:tcW w:w="3080" w:type="dxa"/>
          </w:tcPr>
          <w:p w14:paraId="54E94D79" w14:textId="0FEE3745" w:rsidR="00614615" w:rsidRDefault="00054069" w:rsidP="00235F50">
            <w:pPr>
              <w:tabs>
                <w:tab w:val="left" w:pos="1848"/>
              </w:tabs>
              <w:rPr>
                <w:b/>
              </w:rPr>
            </w:pPr>
            <w:r>
              <w:rPr>
                <w:b/>
              </w:rPr>
              <w:t>Number of days of exposure anticipated</w:t>
            </w:r>
          </w:p>
        </w:tc>
        <w:tc>
          <w:tcPr>
            <w:tcW w:w="3043" w:type="dxa"/>
          </w:tcPr>
          <w:p w14:paraId="154DFC67" w14:textId="7E2BB3DE" w:rsidR="00614615" w:rsidRDefault="00054069" w:rsidP="00235F50">
            <w:pPr>
              <w:tabs>
                <w:tab w:val="left" w:pos="1848"/>
              </w:tabs>
              <w:rPr>
                <w:b/>
              </w:rPr>
            </w:pPr>
            <w:r>
              <w:rPr>
                <w:b/>
              </w:rPr>
              <w:t>Post-exposure prophylaxis</w:t>
            </w:r>
            <w:r w:rsidR="00F87FC3">
              <w:rPr>
                <w:b/>
              </w:rPr>
              <w:t xml:space="preserve"> (days)</w:t>
            </w:r>
          </w:p>
        </w:tc>
        <w:tc>
          <w:tcPr>
            <w:tcW w:w="2893" w:type="dxa"/>
          </w:tcPr>
          <w:p w14:paraId="6BD8CAB1" w14:textId="14220A24" w:rsidR="00614615" w:rsidRDefault="00054069" w:rsidP="00235F50">
            <w:pPr>
              <w:tabs>
                <w:tab w:val="left" w:pos="1848"/>
              </w:tabs>
              <w:rPr>
                <w:b/>
              </w:rPr>
            </w:pPr>
            <w:r>
              <w:rPr>
                <w:b/>
              </w:rPr>
              <w:t>Total number of capsules to be supplied</w:t>
            </w:r>
            <w:r w:rsidR="00614615">
              <w:rPr>
                <w:b/>
              </w:rPr>
              <w:t xml:space="preserve"> </w:t>
            </w:r>
          </w:p>
        </w:tc>
      </w:tr>
      <w:tr w:rsidR="00614615" w14:paraId="37D1BB64" w14:textId="77777777" w:rsidTr="00BF3805">
        <w:trPr>
          <w:trHeight w:val="491"/>
        </w:trPr>
        <w:tc>
          <w:tcPr>
            <w:tcW w:w="3080" w:type="dxa"/>
          </w:tcPr>
          <w:p w14:paraId="41FB6530" w14:textId="77777777" w:rsidR="00614615" w:rsidRPr="00525625" w:rsidRDefault="00614615" w:rsidP="00A12CE9">
            <w:pPr>
              <w:tabs>
                <w:tab w:val="left" w:pos="1848"/>
              </w:tabs>
              <w:rPr>
                <w:bCs/>
              </w:rPr>
            </w:pPr>
            <w:permStart w:id="1228294630" w:edGrp="everyone"/>
            <w:permEnd w:id="1228294630"/>
          </w:p>
        </w:tc>
        <w:tc>
          <w:tcPr>
            <w:tcW w:w="3043" w:type="dxa"/>
          </w:tcPr>
          <w:p w14:paraId="6465A93E" w14:textId="5179233B" w:rsidR="00614615" w:rsidRDefault="00054069" w:rsidP="00054069">
            <w:pPr>
              <w:jc w:val="center"/>
            </w:pPr>
            <w:r>
              <w:t>10</w:t>
            </w:r>
          </w:p>
        </w:tc>
        <w:tc>
          <w:tcPr>
            <w:tcW w:w="2893" w:type="dxa"/>
          </w:tcPr>
          <w:p w14:paraId="2B1AA251" w14:textId="77777777" w:rsidR="00614615" w:rsidRPr="00525625" w:rsidRDefault="00614615" w:rsidP="00235F50">
            <w:pPr>
              <w:tabs>
                <w:tab w:val="left" w:pos="1848"/>
              </w:tabs>
              <w:rPr>
                <w:bCs/>
              </w:rPr>
            </w:pPr>
            <w:permStart w:id="1147807694" w:edGrp="everyone"/>
            <w:permEnd w:id="1147807694"/>
          </w:p>
        </w:tc>
      </w:tr>
    </w:tbl>
    <w:p w14:paraId="3B90E5D8" w14:textId="77777777" w:rsidR="00BF3805" w:rsidRPr="00BF3805" w:rsidRDefault="00BF3805" w:rsidP="00BF3805"/>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BF3805" w14:paraId="6D4320C4" w14:textId="77777777" w:rsidTr="00BF3805">
        <w:trPr>
          <w:trHeight w:val="744"/>
        </w:trPr>
        <w:tc>
          <w:tcPr>
            <w:tcW w:w="4621" w:type="dxa"/>
          </w:tcPr>
          <w:p w14:paraId="19EA5963" w14:textId="014003E4" w:rsidR="00BF3805" w:rsidRPr="00C66B0B" w:rsidRDefault="00BF3805" w:rsidP="0061095D">
            <w:pPr>
              <w:tabs>
                <w:tab w:val="left" w:pos="1848"/>
              </w:tabs>
              <w:rPr>
                <w:b/>
                <w:sz w:val="24"/>
                <w:szCs w:val="24"/>
              </w:rPr>
            </w:pPr>
            <w:r w:rsidRPr="00C66B0B">
              <w:rPr>
                <w:b/>
                <w:sz w:val="24"/>
                <w:szCs w:val="24"/>
              </w:rPr>
              <w:t>Sig</w:t>
            </w:r>
            <w:r>
              <w:rPr>
                <w:b/>
                <w:sz w:val="24"/>
                <w:szCs w:val="24"/>
              </w:rPr>
              <w:t>n</w:t>
            </w:r>
            <w:r w:rsidRPr="00C66B0B">
              <w:rPr>
                <w:b/>
                <w:sz w:val="24"/>
                <w:szCs w:val="24"/>
              </w:rPr>
              <w:t>ature of prescriber</w:t>
            </w:r>
          </w:p>
        </w:tc>
        <w:tc>
          <w:tcPr>
            <w:tcW w:w="4621" w:type="dxa"/>
          </w:tcPr>
          <w:p w14:paraId="52DDD089" w14:textId="69838A64" w:rsidR="00BF3805" w:rsidRPr="00C66B0B" w:rsidRDefault="00BF3805" w:rsidP="0061095D">
            <w:pPr>
              <w:rPr>
                <w:b/>
                <w:bCs/>
                <w:sz w:val="24"/>
                <w:szCs w:val="24"/>
              </w:rPr>
            </w:pPr>
            <w:r w:rsidRPr="00C66B0B">
              <w:rPr>
                <w:b/>
                <w:bCs/>
                <w:sz w:val="24"/>
                <w:szCs w:val="24"/>
              </w:rPr>
              <w:t>Date</w:t>
            </w:r>
          </w:p>
          <w:p w14:paraId="2295F0C9" w14:textId="77777777" w:rsidR="00BF3805" w:rsidRPr="00525625" w:rsidRDefault="00BF3805" w:rsidP="0061095D">
            <w:pPr>
              <w:rPr>
                <w:sz w:val="24"/>
                <w:szCs w:val="24"/>
              </w:rPr>
            </w:pPr>
            <w:permStart w:id="1306002807" w:edGrp="everyone"/>
            <w:permEnd w:id="1306002807"/>
          </w:p>
        </w:tc>
      </w:tr>
    </w:tbl>
    <w:p w14:paraId="1F3F5FC8" w14:textId="77777777" w:rsidR="00571E78" w:rsidRDefault="00571E78" w:rsidP="00BF3805">
      <w:pPr>
        <w:rPr>
          <w:sz w:val="24"/>
          <w:szCs w:val="24"/>
        </w:rPr>
      </w:pPr>
    </w:p>
    <w:p w14:paraId="263E7B82" w14:textId="6E6E79B1" w:rsidR="00BF3805" w:rsidRPr="00614615" w:rsidRDefault="00BF3805" w:rsidP="00BF3805">
      <w:pPr>
        <w:rPr>
          <w:sz w:val="24"/>
          <w:szCs w:val="24"/>
        </w:rPr>
      </w:pPr>
      <w:r w:rsidRPr="00614615">
        <w:rPr>
          <w:sz w:val="24"/>
          <w:szCs w:val="24"/>
        </w:rPr>
        <w:t>This form should be sent to the organisation that will dispense it (</w:t>
      </w:r>
      <w:r>
        <w:rPr>
          <w:sz w:val="24"/>
          <w:szCs w:val="24"/>
        </w:rPr>
        <w:t>such as</w:t>
      </w:r>
      <w:r w:rsidRPr="00614615">
        <w:rPr>
          <w:sz w:val="24"/>
          <w:szCs w:val="24"/>
        </w:rPr>
        <w:t xml:space="preserve"> a community pharmacy or a hospital pharmacy).</w:t>
      </w:r>
      <w:r w:rsidR="00446514">
        <w:rPr>
          <w:sz w:val="24"/>
          <w:szCs w:val="24"/>
        </w:rPr>
        <w:t xml:space="preserve">  </w:t>
      </w:r>
      <w:r w:rsidR="00682A50" w:rsidRPr="00682A50">
        <w:rPr>
          <w:sz w:val="24"/>
          <w:szCs w:val="24"/>
        </w:rPr>
        <w:t>Where circumstances mean that it will not arrive promptly an electronic copy can be used to give advance notice of the supplies required, but the signed original must also be sent.</w:t>
      </w:r>
    </w:p>
    <w:p w14:paraId="28CE8206" w14:textId="4614FA06" w:rsidR="0046072D" w:rsidRPr="00F94310" w:rsidRDefault="00BF3805" w:rsidP="00BF3805">
      <w:pPr>
        <w:spacing w:after="0" w:line="240" w:lineRule="auto"/>
        <w:rPr>
          <w:b/>
        </w:rPr>
        <w:sectPr w:rsidR="0046072D" w:rsidRPr="00F94310" w:rsidSect="0046072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pPr>
      <w:r>
        <w:rPr>
          <w:sz w:val="24"/>
          <w:szCs w:val="24"/>
        </w:rPr>
        <w:t>Cornwall and Isles of Scilly Integrated Care Board</w:t>
      </w:r>
      <w:r w:rsidRPr="00614615">
        <w:rPr>
          <w:sz w:val="24"/>
          <w:szCs w:val="24"/>
        </w:rPr>
        <w:t xml:space="preserve"> whose member practice the patients are registered with will reimburse the cost of medication and remunerate for the work involved.</w:t>
      </w:r>
    </w:p>
    <w:p w14:paraId="11D4D349" w14:textId="5DECE0BB" w:rsidR="00614615" w:rsidRDefault="004A5A50" w:rsidP="00C66B0B">
      <w:pPr>
        <w:pStyle w:val="Heading2"/>
      </w:pPr>
      <w:r>
        <w:lastRenderedPageBreak/>
        <w:t>P</w:t>
      </w:r>
      <w:r w:rsidR="00C66B0B">
        <w:t>atient specific direction (PSD)</w:t>
      </w:r>
      <w:r w:rsidR="00614615">
        <w:t xml:space="preserve"> for </w:t>
      </w:r>
      <w:r w:rsidR="00F75DED">
        <w:t>pre-exposure</w:t>
      </w:r>
      <w:r w:rsidR="00462A85">
        <w:t xml:space="preserve"> prophylaxis in </w:t>
      </w:r>
      <w:r w:rsidR="00614615">
        <w:t>other patients to be treated with oseltamivir</w:t>
      </w:r>
    </w:p>
    <w:p w14:paraId="24137EDA" w14:textId="1AF626D9" w:rsidR="00C66B0B" w:rsidRDefault="00C66B0B" w:rsidP="00C66B0B"/>
    <w:tbl>
      <w:tblPr>
        <w:tblStyle w:val="TableGrid"/>
        <w:tblW w:w="0" w:type="auto"/>
        <w:tblLook w:val="04A0" w:firstRow="1" w:lastRow="0" w:firstColumn="1" w:lastColumn="0" w:noHBand="0" w:noVBand="1"/>
        <w:tblDescription w:val="A tablet with space to enter the prescriber's details and address of the patients being treated"/>
      </w:tblPr>
      <w:tblGrid>
        <w:gridCol w:w="4515"/>
        <w:gridCol w:w="4501"/>
      </w:tblGrid>
      <w:tr w:rsidR="005D7F31" w14:paraId="7D14B17C" w14:textId="77777777" w:rsidTr="00571E78">
        <w:trPr>
          <w:trHeight w:val="3128"/>
        </w:trPr>
        <w:tc>
          <w:tcPr>
            <w:tcW w:w="4621" w:type="dxa"/>
          </w:tcPr>
          <w:p w14:paraId="1410B486" w14:textId="77777777" w:rsidR="005D7F31" w:rsidRPr="00196C41" w:rsidRDefault="005D7F31" w:rsidP="00235F50">
            <w:pPr>
              <w:rPr>
                <w:b/>
                <w:bCs/>
                <w:sz w:val="24"/>
                <w:szCs w:val="24"/>
              </w:rPr>
            </w:pPr>
            <w:bookmarkStart w:id="0" w:name="_Hlk112746427"/>
            <w:r w:rsidRPr="00614615">
              <w:rPr>
                <w:b/>
                <w:bCs/>
                <w:sz w:val="24"/>
                <w:szCs w:val="24"/>
              </w:rPr>
              <w:t>Prescriber’s details (name, registration number, work address and contact details)</w:t>
            </w:r>
          </w:p>
          <w:p w14:paraId="5FEA299B" w14:textId="77777777" w:rsidR="005D7F31" w:rsidRPr="00525625" w:rsidRDefault="005D7F31" w:rsidP="00235F50">
            <w:pPr>
              <w:tabs>
                <w:tab w:val="left" w:pos="1848"/>
              </w:tabs>
              <w:rPr>
                <w:bCs/>
              </w:rPr>
            </w:pPr>
            <w:permStart w:id="924604549" w:edGrp="everyone"/>
            <w:permEnd w:id="924604549"/>
          </w:p>
          <w:p w14:paraId="354B109A" w14:textId="77777777" w:rsidR="005D7F31" w:rsidRDefault="005D7F31" w:rsidP="00235F50">
            <w:pPr>
              <w:tabs>
                <w:tab w:val="left" w:pos="1848"/>
              </w:tabs>
              <w:rPr>
                <w:b/>
              </w:rPr>
            </w:pPr>
          </w:p>
        </w:tc>
        <w:tc>
          <w:tcPr>
            <w:tcW w:w="4621" w:type="dxa"/>
          </w:tcPr>
          <w:p w14:paraId="3AFDD8C2" w14:textId="77777777" w:rsidR="005D7F31" w:rsidRDefault="00FF5BC5" w:rsidP="00235F50">
            <w:pPr>
              <w:rPr>
                <w:b/>
                <w:bCs/>
                <w:sz w:val="24"/>
                <w:szCs w:val="24"/>
              </w:rPr>
            </w:pPr>
            <w:r>
              <w:rPr>
                <w:b/>
                <w:bCs/>
                <w:sz w:val="24"/>
                <w:szCs w:val="24"/>
              </w:rPr>
              <w:t>Name, address, date of birth and NHS number of patient</w:t>
            </w:r>
            <w:r w:rsidRPr="00614615">
              <w:rPr>
                <w:b/>
                <w:bCs/>
                <w:sz w:val="24"/>
                <w:szCs w:val="24"/>
              </w:rPr>
              <w:t xml:space="preserve"> to whom this PSD relates</w:t>
            </w:r>
          </w:p>
          <w:p w14:paraId="1BC8B000" w14:textId="44EC5ECE" w:rsidR="00A12CE9" w:rsidRPr="00A12CE9" w:rsidRDefault="00A12CE9" w:rsidP="00A12CE9">
            <w:pPr>
              <w:rPr>
                <w:sz w:val="24"/>
                <w:szCs w:val="24"/>
              </w:rPr>
            </w:pPr>
            <w:permStart w:id="1286958646" w:edGrp="everyone"/>
            <w:permEnd w:id="1286958646"/>
          </w:p>
        </w:tc>
      </w:tr>
      <w:bookmarkEnd w:id="0"/>
    </w:tbl>
    <w:p w14:paraId="77ABDE87" w14:textId="77777777" w:rsidR="00854C89" w:rsidRDefault="00854C89" w:rsidP="00C66B0B">
      <w:pPr>
        <w:pStyle w:val="Heading3"/>
      </w:pPr>
    </w:p>
    <w:p w14:paraId="26268B3E" w14:textId="0153673A" w:rsidR="00614615" w:rsidRDefault="00C66B0B" w:rsidP="00C66B0B">
      <w:pPr>
        <w:pStyle w:val="Heading3"/>
      </w:pPr>
      <w:r>
        <w:t>Treatment</w:t>
      </w:r>
    </w:p>
    <w:p w14:paraId="2FB884B8" w14:textId="6E2482D4" w:rsidR="00614615" w:rsidRDefault="00614615" w:rsidP="00C66B0B">
      <w:pPr>
        <w:rPr>
          <w:sz w:val="24"/>
          <w:szCs w:val="24"/>
        </w:rPr>
      </w:pPr>
      <w:r w:rsidRPr="00C66B0B">
        <w:rPr>
          <w:sz w:val="24"/>
          <w:szCs w:val="24"/>
        </w:rPr>
        <w:t xml:space="preserve">I authorise the supply of oseltamivir capsules to </w:t>
      </w:r>
      <w:r w:rsidR="00144B98">
        <w:rPr>
          <w:sz w:val="24"/>
          <w:szCs w:val="24"/>
        </w:rPr>
        <w:t>the patient above</w:t>
      </w:r>
      <w:r w:rsidRPr="00C66B0B">
        <w:rPr>
          <w:sz w:val="24"/>
          <w:szCs w:val="24"/>
        </w:rPr>
        <w:t xml:space="preserve"> for oral administration</w:t>
      </w:r>
      <w:r w:rsidR="00F87FC3">
        <w:rPr>
          <w:sz w:val="24"/>
          <w:szCs w:val="24"/>
        </w:rPr>
        <w:t>.</w:t>
      </w:r>
    </w:p>
    <w:p w14:paraId="2EAA6295" w14:textId="03CFD5F1" w:rsidR="00F87FC3" w:rsidRDefault="00F87FC3" w:rsidP="00C66B0B">
      <w:pPr>
        <w:rPr>
          <w:sz w:val="24"/>
          <w:szCs w:val="24"/>
        </w:rPr>
      </w:pPr>
      <w:r>
        <w:rPr>
          <w:sz w:val="24"/>
          <w:szCs w:val="24"/>
        </w:rPr>
        <w:t>Treatment should be issued to cover each day of exposure</w:t>
      </w:r>
      <w:r w:rsidR="00144B98">
        <w:rPr>
          <w:sz w:val="24"/>
          <w:szCs w:val="24"/>
        </w:rPr>
        <w:t>,</w:t>
      </w:r>
      <w:r>
        <w:rPr>
          <w:sz w:val="24"/>
          <w:szCs w:val="24"/>
        </w:rPr>
        <w:t xml:space="preserve"> and </w:t>
      </w:r>
      <w:r w:rsidR="00144B98">
        <w:rPr>
          <w:sz w:val="24"/>
          <w:szCs w:val="24"/>
        </w:rPr>
        <w:t xml:space="preserve">for </w:t>
      </w:r>
      <w:r>
        <w:rPr>
          <w:sz w:val="24"/>
          <w:szCs w:val="24"/>
        </w:rPr>
        <w:t xml:space="preserve">10 days afterwards.  </w:t>
      </w:r>
      <w:r w:rsidR="00B30BC3" w:rsidRPr="00B30BC3">
        <w:rPr>
          <w:sz w:val="24"/>
          <w:szCs w:val="24"/>
        </w:rPr>
        <w:t>Prophylaxis should be started prior to individuals having contact with infected birds or contaminated materials</w:t>
      </w:r>
      <w:r w:rsidR="00B30BC3">
        <w:rPr>
          <w:sz w:val="24"/>
          <w:szCs w:val="24"/>
        </w:rPr>
        <w:t xml:space="preserve"> and may be continued for a maximum of 42 days in total, after which a break of at least 3 days must be observed.</w:t>
      </w:r>
    </w:p>
    <w:p w14:paraId="1E062495" w14:textId="009E6ED8" w:rsidR="00F87FC3" w:rsidRPr="00C66B0B" w:rsidRDefault="00F87FC3" w:rsidP="00C66B0B">
      <w:pPr>
        <w:rPr>
          <w:sz w:val="24"/>
          <w:szCs w:val="24"/>
        </w:rPr>
      </w:pPr>
      <w:r w:rsidRPr="00F87FC3">
        <w:rPr>
          <w:sz w:val="24"/>
          <w:szCs w:val="24"/>
        </w:rPr>
        <w:t xml:space="preserve">Guidance from Public Health England can be found </w:t>
      </w:r>
      <w:hyperlink r:id="rId13" w:history="1">
        <w:r w:rsidRPr="00F87FC3">
          <w:rPr>
            <w:rStyle w:val="Hyperlink"/>
            <w:sz w:val="24"/>
            <w:szCs w:val="24"/>
          </w:rPr>
          <w:t>here</w:t>
        </w:r>
      </w:hyperlink>
      <w:r w:rsidR="00F653AA">
        <w:rPr>
          <w:sz w:val="24"/>
          <w:szCs w:val="24"/>
        </w:rPr>
        <w:t xml:space="preserve"> (see page 22 and annex 7)</w:t>
      </w:r>
    </w:p>
    <w:tbl>
      <w:tblPr>
        <w:tblStyle w:val="TableGrid"/>
        <w:tblW w:w="5000" w:type="pct"/>
        <w:tblLook w:val="04A0" w:firstRow="1" w:lastRow="0" w:firstColumn="1" w:lastColumn="0" w:noHBand="0" w:noVBand="1"/>
        <w:tblDescription w:val="A table for completion with the name, date of birth, NHS or hospital number, strength and frequency of treatment and duration of treatment for each patient"/>
      </w:tblPr>
      <w:tblGrid>
        <w:gridCol w:w="2254"/>
        <w:gridCol w:w="2254"/>
        <w:gridCol w:w="2254"/>
        <w:gridCol w:w="2254"/>
      </w:tblGrid>
      <w:tr w:rsidR="00F87FC3" w14:paraId="65F4017C" w14:textId="77777777" w:rsidTr="00F87FC3">
        <w:tc>
          <w:tcPr>
            <w:tcW w:w="1250" w:type="pct"/>
          </w:tcPr>
          <w:p w14:paraId="54C84D5A" w14:textId="4D7D7D2C" w:rsidR="00F87FC3" w:rsidRPr="00C66B0B" w:rsidRDefault="00F87FC3" w:rsidP="00F87FC3">
            <w:pPr>
              <w:tabs>
                <w:tab w:val="left" w:pos="1848"/>
              </w:tabs>
              <w:rPr>
                <w:b/>
                <w:sz w:val="24"/>
                <w:szCs w:val="24"/>
              </w:rPr>
            </w:pPr>
            <w:r w:rsidRPr="00C66B0B">
              <w:rPr>
                <w:b/>
                <w:sz w:val="24"/>
                <w:szCs w:val="24"/>
              </w:rPr>
              <w:t>Dose</w:t>
            </w:r>
            <w:r>
              <w:rPr>
                <w:b/>
                <w:sz w:val="24"/>
                <w:szCs w:val="24"/>
              </w:rPr>
              <w:t xml:space="preserve"> </w:t>
            </w:r>
            <w:r w:rsidRPr="00C66B0B">
              <w:rPr>
                <w:b/>
                <w:sz w:val="24"/>
                <w:szCs w:val="24"/>
              </w:rPr>
              <w:t>(strength and frequency)</w:t>
            </w:r>
          </w:p>
        </w:tc>
        <w:tc>
          <w:tcPr>
            <w:tcW w:w="1250" w:type="pct"/>
          </w:tcPr>
          <w:p w14:paraId="234C4C9D" w14:textId="7498C60F" w:rsidR="00F87FC3" w:rsidRPr="00C66B0B" w:rsidRDefault="00F87FC3" w:rsidP="00F87FC3">
            <w:pPr>
              <w:tabs>
                <w:tab w:val="left" w:pos="1848"/>
              </w:tabs>
              <w:rPr>
                <w:b/>
                <w:sz w:val="24"/>
                <w:szCs w:val="24"/>
              </w:rPr>
            </w:pPr>
            <w:r>
              <w:rPr>
                <w:b/>
              </w:rPr>
              <w:t>Number of days of exposure anticipated</w:t>
            </w:r>
          </w:p>
        </w:tc>
        <w:tc>
          <w:tcPr>
            <w:tcW w:w="1250" w:type="pct"/>
          </w:tcPr>
          <w:p w14:paraId="4123F17C" w14:textId="75A1EBDE" w:rsidR="00F87FC3" w:rsidRPr="00C66B0B" w:rsidRDefault="00F87FC3" w:rsidP="00F87FC3">
            <w:pPr>
              <w:tabs>
                <w:tab w:val="left" w:pos="1848"/>
              </w:tabs>
              <w:rPr>
                <w:b/>
                <w:sz w:val="24"/>
                <w:szCs w:val="24"/>
              </w:rPr>
            </w:pPr>
            <w:r>
              <w:rPr>
                <w:b/>
              </w:rPr>
              <w:t>Post-exposure prophylaxis (days)</w:t>
            </w:r>
          </w:p>
        </w:tc>
        <w:tc>
          <w:tcPr>
            <w:tcW w:w="1250" w:type="pct"/>
          </w:tcPr>
          <w:p w14:paraId="30C08D28" w14:textId="774B23B4" w:rsidR="00F87FC3" w:rsidRPr="00C66B0B" w:rsidRDefault="00F87FC3" w:rsidP="00F87FC3">
            <w:pPr>
              <w:tabs>
                <w:tab w:val="left" w:pos="1848"/>
              </w:tabs>
              <w:rPr>
                <w:b/>
                <w:sz w:val="24"/>
                <w:szCs w:val="24"/>
              </w:rPr>
            </w:pPr>
            <w:r>
              <w:rPr>
                <w:b/>
              </w:rPr>
              <w:t xml:space="preserve">Total number of capsules to be supplied </w:t>
            </w:r>
          </w:p>
        </w:tc>
      </w:tr>
      <w:tr w:rsidR="00F87FC3" w14:paraId="3BF1C9C7" w14:textId="77777777" w:rsidTr="00F87FC3">
        <w:tc>
          <w:tcPr>
            <w:tcW w:w="1250" w:type="pct"/>
          </w:tcPr>
          <w:p w14:paraId="5CE9D699" w14:textId="77777777" w:rsidR="00F87FC3" w:rsidRPr="00525625" w:rsidRDefault="00F87FC3" w:rsidP="00235F50">
            <w:pPr>
              <w:tabs>
                <w:tab w:val="left" w:pos="1848"/>
              </w:tabs>
              <w:rPr>
                <w:bCs/>
              </w:rPr>
            </w:pPr>
            <w:permStart w:id="710750668" w:edGrp="everyone"/>
            <w:permEnd w:id="710750668"/>
          </w:p>
        </w:tc>
        <w:tc>
          <w:tcPr>
            <w:tcW w:w="1250" w:type="pct"/>
          </w:tcPr>
          <w:p w14:paraId="11DAA2A5" w14:textId="77777777" w:rsidR="00F87FC3" w:rsidRPr="00525625" w:rsidRDefault="00F87FC3" w:rsidP="00235F50">
            <w:pPr>
              <w:tabs>
                <w:tab w:val="left" w:pos="1848"/>
              </w:tabs>
              <w:rPr>
                <w:bCs/>
              </w:rPr>
            </w:pPr>
            <w:permStart w:id="1382809678" w:edGrp="everyone"/>
            <w:permEnd w:id="1382809678"/>
          </w:p>
        </w:tc>
        <w:tc>
          <w:tcPr>
            <w:tcW w:w="1250" w:type="pct"/>
          </w:tcPr>
          <w:p w14:paraId="0B9E5F79" w14:textId="077EA886" w:rsidR="00F87FC3" w:rsidRDefault="00F65F78" w:rsidP="00F65F78">
            <w:pPr>
              <w:jc w:val="center"/>
            </w:pPr>
            <w:r>
              <w:t>10</w:t>
            </w:r>
          </w:p>
        </w:tc>
        <w:tc>
          <w:tcPr>
            <w:tcW w:w="1250" w:type="pct"/>
          </w:tcPr>
          <w:p w14:paraId="75F465C9" w14:textId="77777777" w:rsidR="00F87FC3" w:rsidRPr="00525625" w:rsidRDefault="00F87FC3" w:rsidP="00235F50">
            <w:pPr>
              <w:tabs>
                <w:tab w:val="left" w:pos="1848"/>
              </w:tabs>
              <w:rPr>
                <w:bCs/>
              </w:rPr>
            </w:pPr>
            <w:permStart w:id="91583829" w:edGrp="everyone"/>
            <w:permEnd w:id="91583829"/>
          </w:p>
        </w:tc>
      </w:tr>
    </w:tbl>
    <w:p w14:paraId="2024B9D8" w14:textId="58E0EC70" w:rsidR="00614615" w:rsidRDefault="00614615" w:rsidP="00614615">
      <w:pPr>
        <w:tabs>
          <w:tab w:val="left" w:pos="1848"/>
        </w:tabs>
        <w:spacing w:after="120"/>
        <w:rPr>
          <w:b/>
        </w:rPr>
      </w:pPr>
    </w:p>
    <w:tbl>
      <w:tblPr>
        <w:tblStyle w:val="TableGrid"/>
        <w:tblW w:w="0" w:type="auto"/>
        <w:tblLook w:val="04A0" w:firstRow="1" w:lastRow="0" w:firstColumn="1" w:lastColumn="0" w:noHBand="0" w:noVBand="1"/>
        <w:tblDescription w:val="A table with space for the prescriber's signature and the appropriate date"/>
      </w:tblPr>
      <w:tblGrid>
        <w:gridCol w:w="4518"/>
        <w:gridCol w:w="4498"/>
      </w:tblGrid>
      <w:tr w:rsidR="00BF3805" w14:paraId="72A2E559" w14:textId="77777777" w:rsidTr="0061095D">
        <w:trPr>
          <w:trHeight w:val="744"/>
        </w:trPr>
        <w:tc>
          <w:tcPr>
            <w:tcW w:w="4621" w:type="dxa"/>
          </w:tcPr>
          <w:p w14:paraId="7E8C74EF" w14:textId="77777777" w:rsidR="00BF3805" w:rsidRPr="00C66B0B" w:rsidRDefault="00BF3805" w:rsidP="0061095D">
            <w:pPr>
              <w:tabs>
                <w:tab w:val="left" w:pos="1848"/>
              </w:tabs>
              <w:rPr>
                <w:b/>
                <w:sz w:val="24"/>
                <w:szCs w:val="24"/>
              </w:rPr>
            </w:pPr>
            <w:r w:rsidRPr="00C66B0B">
              <w:rPr>
                <w:b/>
                <w:sz w:val="24"/>
                <w:szCs w:val="24"/>
              </w:rPr>
              <w:t>Sig</w:t>
            </w:r>
            <w:r>
              <w:rPr>
                <w:b/>
                <w:sz w:val="24"/>
                <w:szCs w:val="24"/>
              </w:rPr>
              <w:t>n</w:t>
            </w:r>
            <w:r w:rsidRPr="00C66B0B">
              <w:rPr>
                <w:b/>
                <w:sz w:val="24"/>
                <w:szCs w:val="24"/>
              </w:rPr>
              <w:t>ature of prescriber</w:t>
            </w:r>
          </w:p>
        </w:tc>
        <w:tc>
          <w:tcPr>
            <w:tcW w:w="4621" w:type="dxa"/>
          </w:tcPr>
          <w:p w14:paraId="6D6EFB2B" w14:textId="77777777" w:rsidR="00BF3805" w:rsidRPr="00C66B0B" w:rsidRDefault="00BF3805" w:rsidP="0061095D">
            <w:pPr>
              <w:rPr>
                <w:b/>
                <w:bCs/>
                <w:sz w:val="24"/>
                <w:szCs w:val="24"/>
              </w:rPr>
            </w:pPr>
            <w:r w:rsidRPr="00C66B0B">
              <w:rPr>
                <w:b/>
                <w:bCs/>
                <w:sz w:val="24"/>
                <w:szCs w:val="24"/>
              </w:rPr>
              <w:t>Date</w:t>
            </w:r>
          </w:p>
          <w:p w14:paraId="55A694AF" w14:textId="77777777" w:rsidR="00BF3805" w:rsidRPr="00525625" w:rsidRDefault="00BF3805" w:rsidP="0061095D">
            <w:pPr>
              <w:rPr>
                <w:sz w:val="24"/>
                <w:szCs w:val="24"/>
              </w:rPr>
            </w:pPr>
            <w:permStart w:id="1184260534" w:edGrp="everyone"/>
            <w:permEnd w:id="1184260534"/>
          </w:p>
        </w:tc>
      </w:tr>
    </w:tbl>
    <w:p w14:paraId="520DE977" w14:textId="77777777" w:rsidR="00571E78" w:rsidRDefault="00571E78" w:rsidP="00FA303A">
      <w:pPr>
        <w:rPr>
          <w:sz w:val="24"/>
          <w:szCs w:val="24"/>
        </w:rPr>
      </w:pPr>
    </w:p>
    <w:p w14:paraId="5F1F5E33" w14:textId="160ED4FF" w:rsidR="00682A50" w:rsidRDefault="00614615" w:rsidP="00FA303A">
      <w:pPr>
        <w:rPr>
          <w:sz w:val="24"/>
          <w:szCs w:val="24"/>
        </w:rPr>
      </w:pPr>
      <w:r w:rsidRPr="00C66B0B">
        <w:rPr>
          <w:sz w:val="24"/>
          <w:szCs w:val="24"/>
        </w:rPr>
        <w:t>This form should be sent to the organisation that will dispense it (</w:t>
      </w:r>
      <w:r w:rsidR="00C66B0B" w:rsidRPr="00C66B0B">
        <w:rPr>
          <w:sz w:val="24"/>
          <w:szCs w:val="24"/>
        </w:rPr>
        <w:t>such as</w:t>
      </w:r>
      <w:r w:rsidRPr="00C66B0B">
        <w:rPr>
          <w:sz w:val="24"/>
          <w:szCs w:val="24"/>
        </w:rPr>
        <w:t xml:space="preserve"> a community pharmacy or a hospital pharmacy).</w:t>
      </w:r>
      <w:r w:rsidR="00446514" w:rsidRPr="00446514">
        <w:rPr>
          <w:sz w:val="24"/>
          <w:szCs w:val="24"/>
        </w:rPr>
        <w:t xml:space="preserve"> </w:t>
      </w:r>
      <w:r w:rsidR="00682A50" w:rsidRPr="00682A50">
        <w:rPr>
          <w:sz w:val="24"/>
          <w:szCs w:val="24"/>
        </w:rPr>
        <w:t>Where circumstances mean that it will not arrive promptly an electronic copy can be used to give advance notice of the supplies required, but the signed original must also be sent.</w:t>
      </w:r>
    </w:p>
    <w:p w14:paraId="189C0411" w14:textId="36F48F04" w:rsidR="00FA303A" w:rsidRPr="00614615" w:rsidRDefault="00FA303A" w:rsidP="00FA303A">
      <w:pPr>
        <w:rPr>
          <w:sz w:val="24"/>
          <w:szCs w:val="24"/>
        </w:rPr>
      </w:pPr>
      <w:r>
        <w:rPr>
          <w:sz w:val="24"/>
          <w:szCs w:val="24"/>
        </w:rPr>
        <w:t>Cornwall and Isles of Scilly Integrated Care Board</w:t>
      </w:r>
      <w:r w:rsidRPr="00614615">
        <w:rPr>
          <w:sz w:val="24"/>
          <w:szCs w:val="24"/>
        </w:rPr>
        <w:t xml:space="preserve"> whose member practice the patients are registered with will reimburse the cost of medication and remunerate for the work involved.</w:t>
      </w:r>
    </w:p>
    <w:p w14:paraId="627E80AC" w14:textId="55F5BBA1" w:rsidR="0046072D" w:rsidRDefault="0046072D" w:rsidP="0080480B">
      <w:pPr>
        <w:pStyle w:val="Heading2"/>
        <w:sectPr w:rsidR="0046072D" w:rsidSect="0046072D">
          <w:pgSz w:w="11906" w:h="16838"/>
          <w:pgMar w:top="1440" w:right="1440" w:bottom="1440" w:left="1440" w:header="708" w:footer="708" w:gutter="0"/>
          <w:pgNumType w:start="1"/>
          <w:cols w:space="708"/>
          <w:docGrid w:linePitch="360"/>
        </w:sectPr>
      </w:pPr>
    </w:p>
    <w:p w14:paraId="2C63E0DD" w14:textId="00EFFCE0" w:rsidR="00AA1658" w:rsidRDefault="00614615" w:rsidP="00776F33">
      <w:pPr>
        <w:pStyle w:val="Heading2"/>
      </w:pPr>
      <w:r>
        <w:lastRenderedPageBreak/>
        <w:t>Instructions for administering capsules to patients who have difficulty swallowing or do not wish to swallow gelatine capsules</w:t>
      </w:r>
    </w:p>
    <w:p w14:paraId="2865BD6A" w14:textId="77777777" w:rsidR="00AA1658" w:rsidRDefault="00AA1658" w:rsidP="00614615">
      <w:pPr>
        <w:jc w:val="both"/>
      </w:pPr>
    </w:p>
    <w:p w14:paraId="525E6962" w14:textId="45BE162E" w:rsidR="00614615" w:rsidRPr="00AA1658" w:rsidRDefault="00614615" w:rsidP="00614615">
      <w:pPr>
        <w:jc w:val="both"/>
        <w:rPr>
          <w:rFonts w:ascii="Arial" w:hAnsi="Arial" w:cs="Arial"/>
          <w:b/>
          <w:sz w:val="24"/>
          <w:szCs w:val="24"/>
        </w:rPr>
      </w:pPr>
      <w:r w:rsidRPr="00AA1658">
        <w:rPr>
          <w:rFonts w:ascii="Arial" w:hAnsi="Arial" w:cs="Arial"/>
          <w:b/>
          <w:sz w:val="24"/>
          <w:szCs w:val="24"/>
        </w:rPr>
        <w:t>Tamiflu</w:t>
      </w:r>
      <w:r w:rsidRPr="00AA1658">
        <w:rPr>
          <w:rFonts w:ascii="Arial" w:hAnsi="Arial" w:cs="Arial"/>
          <w:b/>
          <w:sz w:val="24"/>
          <w:szCs w:val="24"/>
          <w:vertAlign w:val="superscript"/>
        </w:rPr>
        <w:t>®</w:t>
      </w:r>
      <w:r w:rsidRPr="00AA1658">
        <w:rPr>
          <w:rFonts w:ascii="Arial" w:hAnsi="Arial" w:cs="Arial"/>
          <w:b/>
          <w:sz w:val="24"/>
          <w:szCs w:val="24"/>
        </w:rPr>
        <w:t xml:space="preserve"> Capsules: Opening the capsules and masking the flavour</w:t>
      </w:r>
    </w:p>
    <w:p w14:paraId="0AFDBE41" w14:textId="77777777" w:rsidR="00614615" w:rsidRPr="00AA1658" w:rsidRDefault="00614615" w:rsidP="00614615">
      <w:pPr>
        <w:jc w:val="both"/>
        <w:rPr>
          <w:rFonts w:ascii="Arial" w:hAnsi="Arial" w:cs="Arial"/>
          <w:bCs/>
          <w:sz w:val="24"/>
          <w:szCs w:val="24"/>
        </w:rPr>
      </w:pPr>
      <w:r w:rsidRPr="00AA1658">
        <w:rPr>
          <w:rFonts w:ascii="Arial" w:hAnsi="Arial" w:cs="Arial"/>
          <w:bCs/>
          <w:sz w:val="24"/>
          <w:szCs w:val="24"/>
        </w:rPr>
        <w:t>The dose is given by opening the capsule and mixing its contents with no more than one teaspoon of a suitable sweetened food product. The bitter taste can be masked by products such as sugar water, chocolate syrup, cherry syrup, dessert toppings (like caramel or fudge sauce). The mixture should be stirred and given entirely to the patient. The mixture must be swallowed immediately after its preparation.</w:t>
      </w:r>
    </w:p>
    <w:p w14:paraId="43787B6F" w14:textId="77777777" w:rsidR="00614615" w:rsidRPr="00AA1658" w:rsidRDefault="00614615" w:rsidP="00614615">
      <w:pPr>
        <w:jc w:val="both"/>
        <w:rPr>
          <w:rFonts w:ascii="Arial" w:hAnsi="Arial" w:cs="Arial"/>
          <w:bCs/>
          <w:sz w:val="24"/>
          <w:szCs w:val="24"/>
        </w:rPr>
      </w:pPr>
      <w:r w:rsidRPr="00AA1658">
        <w:rPr>
          <w:rFonts w:ascii="Arial" w:hAnsi="Arial" w:cs="Arial"/>
          <w:bCs/>
          <w:sz w:val="24"/>
          <w:szCs w:val="24"/>
        </w:rPr>
        <w:t xml:space="preserve">Source </w:t>
      </w:r>
      <w:hyperlink r:id="rId14" w:anchor="ORIGINAL" w:history="1">
        <w:r w:rsidRPr="00AA1658">
          <w:rPr>
            <w:rStyle w:val="Hyperlink"/>
            <w:rFonts w:ascii="Arial" w:hAnsi="Arial" w:cs="Arial"/>
            <w:bCs/>
            <w:sz w:val="24"/>
            <w:szCs w:val="24"/>
          </w:rPr>
          <w:t>Tamiflu Summary of Product Characteristics</w:t>
        </w:r>
      </w:hyperlink>
    </w:p>
    <w:p w14:paraId="68922DF1" w14:textId="77777777" w:rsidR="00E70413" w:rsidRDefault="00E70413"/>
    <w:sectPr w:rsidR="00E70413" w:rsidSect="00277A04">
      <w:headerReference w:type="even" r:id="rId15"/>
      <w:headerReference w:type="default" r:id="rId16"/>
      <w:headerReference w:type="firs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8E618" w14:textId="77777777" w:rsidR="00465EE1" w:rsidRDefault="00465EE1" w:rsidP="00710521">
      <w:pPr>
        <w:spacing w:after="0" w:line="240" w:lineRule="auto"/>
      </w:pPr>
      <w:r>
        <w:separator/>
      </w:r>
    </w:p>
  </w:endnote>
  <w:endnote w:type="continuationSeparator" w:id="0">
    <w:p w14:paraId="6A43AA5A" w14:textId="77777777" w:rsidR="00465EE1" w:rsidRDefault="00465EE1" w:rsidP="0071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F708" w14:textId="77777777" w:rsidR="00C7130C" w:rsidRDefault="00C71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3E7" w14:textId="538BDCAD" w:rsidR="0046072D" w:rsidRPr="006C7F97" w:rsidRDefault="0046072D" w:rsidP="006C7F97">
    <w:pPr>
      <w:pStyle w:val="Footer"/>
      <w:jc w:val="right"/>
    </w:pPr>
    <w:r w:rsidRPr="006C7F97">
      <w:t xml:space="preserve">Page </w:t>
    </w:r>
    <w:r w:rsidRPr="006C7F97">
      <w:fldChar w:fldCharType="begin"/>
    </w:r>
    <w:r w:rsidRPr="006C7F97">
      <w:instrText xml:space="preserve"> PAGE  \* Arabic  \* MERGEFORMAT </w:instrText>
    </w:r>
    <w:r w:rsidRPr="006C7F97">
      <w:fldChar w:fldCharType="separate"/>
    </w:r>
    <w:r w:rsidRPr="006C7F97">
      <w:rPr>
        <w:noProof/>
      </w:rPr>
      <w:t>1</w:t>
    </w:r>
    <w:r w:rsidRPr="006C7F97">
      <w:fldChar w:fldCharType="end"/>
    </w:r>
    <w:r w:rsidRPr="006C7F97">
      <w:t xml:space="preserve"> of </w:t>
    </w:r>
    <w:r w:rsidR="00525625">
      <w:fldChar w:fldCharType="begin"/>
    </w:r>
    <w:r w:rsidR="00525625">
      <w:instrText xml:space="preserve"> SECTIONPAGES  \* Arabic  \* MERGEFORMAT </w:instrText>
    </w:r>
    <w:r w:rsidR="00525625">
      <w:fldChar w:fldCharType="separate"/>
    </w:r>
    <w:r w:rsidR="00525625">
      <w:rPr>
        <w:noProof/>
      </w:rPr>
      <w:t>1</w:t>
    </w:r>
    <w:r w:rsidR="005256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1755" w14:textId="77777777" w:rsidR="00C7130C" w:rsidRDefault="00C7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F133" w14:textId="77777777" w:rsidR="00465EE1" w:rsidRDefault="00465EE1" w:rsidP="00710521">
      <w:pPr>
        <w:spacing w:after="0" w:line="240" w:lineRule="auto"/>
      </w:pPr>
      <w:r>
        <w:separator/>
      </w:r>
    </w:p>
  </w:footnote>
  <w:footnote w:type="continuationSeparator" w:id="0">
    <w:p w14:paraId="3DFC95E5" w14:textId="77777777" w:rsidR="00465EE1" w:rsidRDefault="00465EE1" w:rsidP="0071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BA87" w14:textId="517A4089" w:rsidR="002725B7" w:rsidRDefault="00272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3788" w14:textId="747AD02A" w:rsidR="00614615" w:rsidRDefault="00614615" w:rsidP="00213026">
    <w:pPr>
      <w:pStyle w:val="Header"/>
      <w:tabs>
        <w:tab w:val="left" w:pos="6602"/>
      </w:tabs>
      <w:jc w:val="right"/>
    </w:pPr>
    <w:r>
      <w:tab/>
    </w:r>
    <w:r>
      <w:tab/>
    </w:r>
    <w:r w:rsidR="00613F91">
      <w:rPr>
        <w:noProof/>
      </w:rPr>
      <w:drawing>
        <wp:inline distT="0" distB="0" distL="0" distR="0" wp14:anchorId="374B97E1" wp14:editId="19D4E1F1">
          <wp:extent cx="1013460" cy="632374"/>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145" cy="65713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F4E4" w14:textId="374E4A04" w:rsidR="002725B7" w:rsidRDefault="002725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FA75" w14:textId="3F71B5E6" w:rsidR="002725B7" w:rsidRDefault="00272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FD55" w14:textId="085C14B8" w:rsidR="00710521" w:rsidRDefault="00710521" w:rsidP="00710521">
    <w:pPr>
      <w:pStyle w:val="Header"/>
      <w:jc w:val="right"/>
    </w:pPr>
    <w:r>
      <w:rPr>
        <w:noProof/>
      </w:rPr>
      <w:drawing>
        <wp:inline distT="0" distB="0" distL="0" distR="0" wp14:anchorId="16E2CC54" wp14:editId="15C58191">
          <wp:extent cx="1113952" cy="695325"/>
          <wp:effectExtent l="0" t="0" r="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97" cy="700846"/>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D4C4" w14:textId="679E500B" w:rsidR="002725B7" w:rsidRDefault="00272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Sd7L8BYExd4cuknUTyiHiIRJQ+km3s1+edzErS3KbXdhpex1HCDVoYvt/BraYSNhXIgciEQO4nRiXGqz3xIHg==" w:salt="NxPwr6HzmwpO/a0rhV+3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21"/>
    <w:rsid w:val="00025604"/>
    <w:rsid w:val="00041B1D"/>
    <w:rsid w:val="00054069"/>
    <w:rsid w:val="000B23F6"/>
    <w:rsid w:val="000B6F3B"/>
    <w:rsid w:val="00144B98"/>
    <w:rsid w:val="00196C41"/>
    <w:rsid w:val="001A3DCD"/>
    <w:rsid w:val="001B53CB"/>
    <w:rsid w:val="00230A39"/>
    <w:rsid w:val="002725B7"/>
    <w:rsid w:val="00277A04"/>
    <w:rsid w:val="002943CA"/>
    <w:rsid w:val="002C666C"/>
    <w:rsid w:val="002E1354"/>
    <w:rsid w:val="0043281B"/>
    <w:rsid w:val="00446514"/>
    <w:rsid w:val="0046072D"/>
    <w:rsid w:val="00460EDC"/>
    <w:rsid w:val="00462A85"/>
    <w:rsid w:val="00465EE1"/>
    <w:rsid w:val="00491731"/>
    <w:rsid w:val="004A5A50"/>
    <w:rsid w:val="004F1143"/>
    <w:rsid w:val="004F2513"/>
    <w:rsid w:val="004F55A7"/>
    <w:rsid w:val="00525625"/>
    <w:rsid w:val="00547658"/>
    <w:rsid w:val="00571E78"/>
    <w:rsid w:val="00585037"/>
    <w:rsid w:val="0059574B"/>
    <w:rsid w:val="005D7F31"/>
    <w:rsid w:val="00607D64"/>
    <w:rsid w:val="00613F91"/>
    <w:rsid w:val="00614615"/>
    <w:rsid w:val="00682A50"/>
    <w:rsid w:val="006C7F97"/>
    <w:rsid w:val="006D3A2F"/>
    <w:rsid w:val="00710521"/>
    <w:rsid w:val="00776F33"/>
    <w:rsid w:val="0080480B"/>
    <w:rsid w:val="00854C89"/>
    <w:rsid w:val="0089196C"/>
    <w:rsid w:val="008C00AC"/>
    <w:rsid w:val="00970A24"/>
    <w:rsid w:val="00A12CE9"/>
    <w:rsid w:val="00A365DC"/>
    <w:rsid w:val="00AA1658"/>
    <w:rsid w:val="00B22ACB"/>
    <w:rsid w:val="00B30BC3"/>
    <w:rsid w:val="00B61463"/>
    <w:rsid w:val="00B97AF9"/>
    <w:rsid w:val="00BC2049"/>
    <w:rsid w:val="00BF3805"/>
    <w:rsid w:val="00C66B0B"/>
    <w:rsid w:val="00C7130C"/>
    <w:rsid w:val="00DA1C7C"/>
    <w:rsid w:val="00E70413"/>
    <w:rsid w:val="00E77FA7"/>
    <w:rsid w:val="00E9483F"/>
    <w:rsid w:val="00E94B0B"/>
    <w:rsid w:val="00EB7F70"/>
    <w:rsid w:val="00F1714A"/>
    <w:rsid w:val="00F47933"/>
    <w:rsid w:val="00F653AA"/>
    <w:rsid w:val="00F65F78"/>
    <w:rsid w:val="00F75DED"/>
    <w:rsid w:val="00F85BAD"/>
    <w:rsid w:val="00F87FC3"/>
    <w:rsid w:val="00F94310"/>
    <w:rsid w:val="00FA303A"/>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3A4E"/>
  <w15:chartTrackingRefBased/>
  <w15:docId w15:val="{5E72C035-ED00-415C-9AA6-458A623E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37"/>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qFormat/>
    <w:rsid w:val="008C00AC"/>
    <w:pPr>
      <w:keepNext/>
      <w:keepLines/>
      <w:spacing w:after="0" w:line="240" w:lineRule="auto"/>
      <w:outlineLvl w:val="0"/>
    </w:pPr>
    <w:rPr>
      <w:rFonts w:ascii="Arial" w:eastAsiaTheme="majorEastAsia" w:hAnsi="Arial" w:cstheme="majorBidi"/>
      <w:b/>
      <w:bCs/>
      <w:color w:val="005EB8"/>
      <w:sz w:val="32"/>
      <w:szCs w:val="28"/>
    </w:rPr>
  </w:style>
  <w:style w:type="paragraph" w:styleId="Heading2">
    <w:name w:val="heading 2"/>
    <w:basedOn w:val="Normal"/>
    <w:next w:val="Normal"/>
    <w:link w:val="Heading2Char"/>
    <w:autoRedefine/>
    <w:unhideWhenUsed/>
    <w:qFormat/>
    <w:rsid w:val="008C00AC"/>
    <w:pPr>
      <w:keepNext/>
      <w:keepLines/>
      <w:spacing w:after="0" w:line="240" w:lineRule="auto"/>
      <w:outlineLvl w:val="1"/>
    </w:pPr>
    <w:rPr>
      <w:rFonts w:ascii="Arial" w:eastAsiaTheme="majorEastAsia" w:hAnsi="Arial" w:cstheme="majorBidi"/>
      <w:b/>
      <w:bCs/>
      <w:color w:val="005EB8"/>
      <w:sz w:val="28"/>
      <w:szCs w:val="26"/>
    </w:rPr>
  </w:style>
  <w:style w:type="paragraph" w:styleId="Heading3">
    <w:name w:val="heading 3"/>
    <w:basedOn w:val="Normal"/>
    <w:next w:val="Normal"/>
    <w:link w:val="Heading3Char"/>
    <w:autoRedefine/>
    <w:unhideWhenUsed/>
    <w:qFormat/>
    <w:rsid w:val="008C00AC"/>
    <w:pPr>
      <w:keepNext/>
      <w:keepLines/>
      <w:spacing w:after="0" w:line="240" w:lineRule="auto"/>
      <w:outlineLvl w:val="2"/>
    </w:pPr>
    <w:rPr>
      <w:rFonts w:ascii="Arial" w:eastAsiaTheme="majorEastAsia" w:hAnsi="Arial" w:cstheme="majorBidi"/>
      <w:b/>
      <w:bCs/>
      <w:color w:val="005EB8"/>
      <w:sz w:val="24"/>
      <w:szCs w:val="24"/>
    </w:rPr>
  </w:style>
  <w:style w:type="paragraph" w:styleId="Heading4">
    <w:name w:val="heading 4"/>
    <w:basedOn w:val="Normal"/>
    <w:next w:val="Normal"/>
    <w:link w:val="Heading4Char"/>
    <w:autoRedefine/>
    <w:semiHidden/>
    <w:unhideWhenUsed/>
    <w:qFormat/>
    <w:rsid w:val="008C00AC"/>
    <w:pPr>
      <w:keepNext/>
      <w:keepLines/>
      <w:spacing w:after="0" w:line="240" w:lineRule="auto"/>
      <w:outlineLvl w:val="3"/>
    </w:pPr>
    <w:rPr>
      <w:rFonts w:asciiTheme="majorHAnsi" w:eastAsiaTheme="majorEastAsia" w:hAnsiTheme="majorHAnsi" w:cstheme="majorBidi"/>
      <w:b/>
      <w:bCs/>
      <w:iCs/>
      <w:color w:val="005EB8"/>
      <w:sz w:val="24"/>
      <w:szCs w:val="24"/>
    </w:rPr>
  </w:style>
  <w:style w:type="paragraph" w:styleId="Heading5">
    <w:name w:val="heading 5"/>
    <w:basedOn w:val="Normal"/>
    <w:next w:val="Normal"/>
    <w:link w:val="Heading5Char"/>
    <w:uiPriority w:val="9"/>
    <w:semiHidden/>
    <w:unhideWhenUsed/>
    <w:qFormat/>
    <w:rsid w:val="008C00AC"/>
    <w:pPr>
      <w:keepNext/>
      <w:keepLines/>
      <w:spacing w:after="0" w:line="240" w:lineRule="auto"/>
      <w:outlineLvl w:val="4"/>
    </w:pPr>
    <w:rPr>
      <w:rFonts w:asciiTheme="majorHAnsi" w:eastAsiaTheme="majorEastAsia" w:hAnsiTheme="majorHAnsi" w:cstheme="majorBidi"/>
      <w:b/>
      <w:sz w:val="24"/>
      <w:szCs w:val="24"/>
    </w:rPr>
  </w:style>
  <w:style w:type="paragraph" w:styleId="Heading6">
    <w:name w:val="heading 6"/>
    <w:basedOn w:val="Normal"/>
    <w:next w:val="Normal"/>
    <w:link w:val="Heading6Char"/>
    <w:autoRedefine/>
    <w:uiPriority w:val="9"/>
    <w:semiHidden/>
    <w:unhideWhenUsed/>
    <w:qFormat/>
    <w:rsid w:val="008C00AC"/>
    <w:pPr>
      <w:keepNext/>
      <w:keepLines/>
      <w:spacing w:after="0" w:line="240" w:lineRule="auto"/>
      <w:outlineLvl w:val="5"/>
    </w:pPr>
    <w:rPr>
      <w:rFonts w:asciiTheme="majorHAnsi" w:eastAsiaTheme="majorEastAsia" w:hAnsiTheme="majorHAnsi" w:cstheme="majorBidi"/>
      <w:b/>
      <w:iCs/>
      <w:sz w:val="24"/>
      <w:szCs w:val="24"/>
    </w:rPr>
  </w:style>
  <w:style w:type="paragraph" w:styleId="Heading7">
    <w:name w:val="heading 7"/>
    <w:basedOn w:val="Normal"/>
    <w:next w:val="Normal"/>
    <w:link w:val="Heading7Char"/>
    <w:autoRedefine/>
    <w:uiPriority w:val="9"/>
    <w:semiHidden/>
    <w:unhideWhenUsed/>
    <w:qFormat/>
    <w:rsid w:val="008C00AC"/>
    <w:pPr>
      <w:keepNext/>
      <w:keepLines/>
      <w:spacing w:after="0" w:line="240" w:lineRule="auto"/>
      <w:outlineLvl w:val="6"/>
    </w:pPr>
    <w:rPr>
      <w:rFonts w:asciiTheme="majorHAnsi" w:eastAsiaTheme="majorEastAsia" w:hAnsiTheme="majorHAnsi" w:cstheme="majorBidi"/>
      <w:b/>
      <w:iCs/>
      <w:sz w:val="24"/>
      <w:szCs w:val="24"/>
    </w:rPr>
  </w:style>
  <w:style w:type="paragraph" w:styleId="Heading8">
    <w:name w:val="heading 8"/>
    <w:basedOn w:val="Normal"/>
    <w:next w:val="Normal"/>
    <w:link w:val="Heading8Char"/>
    <w:autoRedefine/>
    <w:uiPriority w:val="9"/>
    <w:semiHidden/>
    <w:unhideWhenUsed/>
    <w:qFormat/>
    <w:rsid w:val="008C00AC"/>
    <w:pPr>
      <w:keepNext/>
      <w:keepLines/>
      <w:spacing w:after="0" w:line="240" w:lineRule="auto"/>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autoRedefine/>
    <w:uiPriority w:val="9"/>
    <w:semiHidden/>
    <w:unhideWhenUsed/>
    <w:qFormat/>
    <w:rsid w:val="008C00AC"/>
    <w:pPr>
      <w:keepNext/>
      <w:keepLines/>
      <w:spacing w:after="0" w:line="240" w:lineRule="auto"/>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AC"/>
    <w:rPr>
      <w:rFonts w:eastAsiaTheme="majorEastAsia" w:cstheme="majorBidi"/>
      <w:b/>
      <w:bCs/>
      <w:color w:val="005EB8"/>
      <w:sz w:val="32"/>
      <w:szCs w:val="28"/>
    </w:rPr>
  </w:style>
  <w:style w:type="character" w:customStyle="1" w:styleId="Heading2Char">
    <w:name w:val="Heading 2 Char"/>
    <w:basedOn w:val="DefaultParagraphFont"/>
    <w:link w:val="Heading2"/>
    <w:rsid w:val="008C00AC"/>
    <w:rPr>
      <w:rFonts w:eastAsiaTheme="majorEastAsia" w:cstheme="majorBidi"/>
      <w:b/>
      <w:bCs/>
      <w:color w:val="005EB8"/>
      <w:sz w:val="28"/>
      <w:szCs w:val="26"/>
    </w:rPr>
  </w:style>
  <w:style w:type="character" w:customStyle="1" w:styleId="Heading3Char">
    <w:name w:val="Heading 3 Char"/>
    <w:basedOn w:val="DefaultParagraphFont"/>
    <w:link w:val="Heading3"/>
    <w:rsid w:val="008C00AC"/>
    <w:rPr>
      <w:rFonts w:eastAsiaTheme="majorEastAsia" w:cstheme="majorBidi"/>
      <w:b/>
      <w:bCs/>
      <w:color w:val="005EB8"/>
    </w:rPr>
  </w:style>
  <w:style w:type="character" w:customStyle="1" w:styleId="Heading4Char">
    <w:name w:val="Heading 4 Char"/>
    <w:basedOn w:val="DefaultParagraphFont"/>
    <w:link w:val="Heading4"/>
    <w:semiHidden/>
    <w:rsid w:val="008C00AC"/>
    <w:rPr>
      <w:rFonts w:asciiTheme="majorHAnsi" w:eastAsiaTheme="majorEastAsia" w:hAnsiTheme="majorHAnsi" w:cstheme="majorBidi"/>
      <w:b/>
      <w:bCs/>
      <w:iCs/>
      <w:color w:val="005EB8"/>
    </w:rPr>
  </w:style>
  <w:style w:type="character" w:customStyle="1" w:styleId="Heading5Char">
    <w:name w:val="Heading 5 Char"/>
    <w:basedOn w:val="DefaultParagraphFont"/>
    <w:link w:val="Heading5"/>
    <w:uiPriority w:val="9"/>
    <w:semiHidden/>
    <w:rsid w:val="008C00AC"/>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8C00AC"/>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8C00AC"/>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8C00AC"/>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8C00AC"/>
    <w:rPr>
      <w:rFonts w:asciiTheme="majorHAnsi" w:eastAsiaTheme="majorEastAsia" w:hAnsiTheme="majorHAnsi" w:cstheme="majorBidi"/>
      <w:b/>
      <w:iCs/>
      <w:szCs w:val="20"/>
    </w:rPr>
  </w:style>
  <w:style w:type="paragraph" w:styleId="Title">
    <w:name w:val="Title"/>
    <w:basedOn w:val="Normal"/>
    <w:next w:val="Normal"/>
    <w:link w:val="TitleChar"/>
    <w:autoRedefine/>
    <w:qFormat/>
    <w:rsid w:val="008C00AC"/>
    <w:pPr>
      <w:spacing w:after="0" w:line="240" w:lineRule="auto"/>
      <w:contextualSpacing/>
    </w:pPr>
    <w:rPr>
      <w:rFonts w:asciiTheme="majorHAnsi" w:eastAsiaTheme="majorEastAsia" w:hAnsiTheme="majorHAnsi" w:cstheme="majorBidi"/>
      <w:b/>
      <w:sz w:val="36"/>
      <w:szCs w:val="52"/>
    </w:rPr>
  </w:style>
  <w:style w:type="character" w:customStyle="1" w:styleId="TitleChar">
    <w:name w:val="Title Char"/>
    <w:basedOn w:val="DefaultParagraphFont"/>
    <w:link w:val="Title"/>
    <w:rsid w:val="008C00AC"/>
    <w:rPr>
      <w:rFonts w:asciiTheme="majorHAnsi" w:eastAsiaTheme="majorEastAsia" w:hAnsiTheme="majorHAnsi" w:cstheme="majorBidi"/>
      <w:b/>
      <w:sz w:val="36"/>
      <w:szCs w:val="52"/>
    </w:rPr>
  </w:style>
  <w:style w:type="character" w:styleId="Strong">
    <w:name w:val="Strong"/>
    <w:basedOn w:val="DefaultParagraphFont"/>
    <w:uiPriority w:val="3"/>
    <w:qFormat/>
    <w:rsid w:val="008C00AC"/>
    <w:rPr>
      <w:rFonts w:ascii="Arial" w:hAnsi="Arial"/>
      <w:b/>
      <w:bCs/>
      <w:sz w:val="24"/>
    </w:rPr>
  </w:style>
  <w:style w:type="paragraph" w:styleId="NoSpacing">
    <w:name w:val="No Spacing"/>
    <w:uiPriority w:val="1"/>
    <w:qFormat/>
    <w:rsid w:val="008C00AC"/>
    <w:rPr>
      <w:szCs w:val="22"/>
    </w:rPr>
  </w:style>
  <w:style w:type="paragraph" w:styleId="ListParagraph">
    <w:name w:val="List Paragraph"/>
    <w:basedOn w:val="Normal"/>
    <w:uiPriority w:val="2"/>
    <w:qFormat/>
    <w:rsid w:val="008C00AC"/>
    <w:pPr>
      <w:spacing w:after="0" w:line="240" w:lineRule="auto"/>
      <w:ind w:left="720"/>
      <w:contextualSpacing/>
    </w:pPr>
    <w:rPr>
      <w:rFonts w:ascii="Arial" w:hAnsi="Arial" w:cs="Times New Roman"/>
      <w:sz w:val="24"/>
      <w:szCs w:val="24"/>
    </w:rPr>
  </w:style>
  <w:style w:type="paragraph" w:styleId="TOCHeading">
    <w:name w:val="TOC Heading"/>
    <w:basedOn w:val="Heading1"/>
    <w:next w:val="Normal"/>
    <w:uiPriority w:val="39"/>
    <w:semiHidden/>
    <w:unhideWhenUsed/>
    <w:qFormat/>
    <w:rsid w:val="008C00AC"/>
    <w:pPr>
      <w:outlineLvl w:val="9"/>
    </w:pPr>
    <w:rPr>
      <w:rFonts w:asciiTheme="majorHAnsi" w:hAnsiTheme="majorHAnsi"/>
      <w:sz w:val="28"/>
    </w:rPr>
  </w:style>
  <w:style w:type="paragraph" w:styleId="Header">
    <w:name w:val="header"/>
    <w:basedOn w:val="Normal"/>
    <w:link w:val="HeaderChar"/>
    <w:uiPriority w:val="99"/>
    <w:unhideWhenUsed/>
    <w:rsid w:val="00710521"/>
    <w:pPr>
      <w:tabs>
        <w:tab w:val="center" w:pos="4513"/>
        <w:tab w:val="right" w:pos="9026"/>
      </w:tabs>
      <w:spacing w:after="0" w:line="240" w:lineRule="auto"/>
    </w:pPr>
    <w:rPr>
      <w:rFonts w:ascii="Arial" w:hAnsi="Arial" w:cs="Times New Roman"/>
      <w:sz w:val="24"/>
      <w:szCs w:val="24"/>
    </w:rPr>
  </w:style>
  <w:style w:type="character" w:customStyle="1" w:styleId="HeaderChar">
    <w:name w:val="Header Char"/>
    <w:basedOn w:val="DefaultParagraphFont"/>
    <w:link w:val="Header"/>
    <w:uiPriority w:val="99"/>
    <w:rsid w:val="00710521"/>
  </w:style>
  <w:style w:type="paragraph" w:styleId="Footer">
    <w:name w:val="footer"/>
    <w:basedOn w:val="Normal"/>
    <w:link w:val="FooterChar"/>
    <w:uiPriority w:val="99"/>
    <w:unhideWhenUsed/>
    <w:rsid w:val="00710521"/>
    <w:pPr>
      <w:tabs>
        <w:tab w:val="center" w:pos="4513"/>
        <w:tab w:val="right" w:pos="9026"/>
      </w:tabs>
      <w:spacing w:after="0" w:line="240" w:lineRule="auto"/>
    </w:pPr>
    <w:rPr>
      <w:rFonts w:ascii="Arial" w:hAnsi="Arial" w:cs="Times New Roman"/>
      <w:sz w:val="24"/>
      <w:szCs w:val="24"/>
    </w:rPr>
  </w:style>
  <w:style w:type="character" w:customStyle="1" w:styleId="FooterChar">
    <w:name w:val="Footer Char"/>
    <w:basedOn w:val="DefaultParagraphFont"/>
    <w:link w:val="Footer"/>
    <w:uiPriority w:val="99"/>
    <w:rsid w:val="00710521"/>
  </w:style>
  <w:style w:type="character" w:styleId="Hyperlink">
    <w:name w:val="Hyperlink"/>
    <w:basedOn w:val="DefaultParagraphFont"/>
    <w:uiPriority w:val="99"/>
    <w:unhideWhenUsed/>
    <w:rsid w:val="00614615"/>
    <w:rPr>
      <w:color w:val="0000FF" w:themeColor="hyperlink"/>
      <w:u w:val="single"/>
    </w:rPr>
  </w:style>
  <w:style w:type="table" w:styleId="TableGrid">
    <w:name w:val="Table Grid"/>
    <w:basedOn w:val="TableNormal"/>
    <w:uiPriority w:val="59"/>
    <w:rsid w:val="0061461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ssets.publishing.service.gov.uk/government/uploads/system/uploads/attachment_data/file/1045368/Avian_influenza_guidance_and_algorithms_for_managing_incidents_in_birds.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1045368/Avian_influenza_guidance_and_algorithms_for_managing_incidents_in_birds.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medicines.org.uk/emc/product/119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595</Words>
  <Characters>3394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BURGIN, Chris (NHS CORNWALL AND THE ISLES OF SCILLY ICB - 11N)</dc:creator>
  <cp:keywords/>
  <dc:description/>
  <cp:lastModifiedBy>BURGIN, Chris (NHS CORNWALL AND THE ISLES OF SCILLY ICB - 11N)</cp:lastModifiedBy>
  <cp:revision>4</cp:revision>
  <dcterms:created xsi:type="dcterms:W3CDTF">2022-09-26T13:08:00Z</dcterms:created>
  <dcterms:modified xsi:type="dcterms:W3CDTF">2022-09-26T13:16:00Z</dcterms:modified>
</cp:coreProperties>
</file>